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16" w:rsidRPr="00816216" w:rsidRDefault="00816216" w:rsidP="00EB06FD">
      <w:r w:rsidRPr="00816216">
        <w:t xml:space="preserve">A small, inexpensive pedometer will be </w:t>
      </w:r>
      <w:r w:rsidR="0078177A">
        <w:t>given</w:t>
      </w:r>
      <w:r w:rsidRPr="00816216">
        <w:t xml:space="preserve"> to all attendees</w:t>
      </w:r>
      <w:r w:rsidR="0078177A">
        <w:t xml:space="preserve"> of the </w:t>
      </w:r>
      <w:proofErr w:type="gramStart"/>
      <w:r w:rsidR="0078177A">
        <w:t>Spring</w:t>
      </w:r>
      <w:proofErr w:type="gramEnd"/>
      <w:r w:rsidR="0078177A">
        <w:t xml:space="preserve"> 2015 Participant Event (“Increasing Activities of Daily Living”).  These</w:t>
      </w:r>
      <w:r w:rsidRPr="00816216">
        <w:t xml:space="preserve"> will be provided </w:t>
      </w:r>
      <w:r w:rsidR="0078177A">
        <w:t xml:space="preserve">to all sites </w:t>
      </w:r>
      <w:r w:rsidRPr="00816216">
        <w:t>by the C</w:t>
      </w:r>
      <w:r w:rsidR="0078177A">
        <w:t>oordinating Center</w:t>
      </w:r>
      <w:r w:rsidRPr="00816216">
        <w:t xml:space="preserve">.   </w:t>
      </w:r>
      <w:r w:rsidR="0078177A">
        <w:t>They</w:t>
      </w:r>
      <w:r w:rsidRPr="00816216">
        <w:t xml:space="preserve"> will also be used as the retention give-away item to all participants at their Month 24 visit. </w:t>
      </w:r>
    </w:p>
    <w:p w:rsidR="00EB06FD" w:rsidRPr="00EB06FD" w:rsidRDefault="00EB06FD" w:rsidP="00EB06FD">
      <w:pPr>
        <w:rPr>
          <w:b/>
        </w:rPr>
      </w:pPr>
      <w:r w:rsidRPr="00EB06FD">
        <w:rPr>
          <w:b/>
        </w:rPr>
        <w:t>Pedometer details</w:t>
      </w:r>
    </w:p>
    <w:p w:rsidR="00EB06FD" w:rsidRDefault="00EB06FD" w:rsidP="00EB06FD">
      <w:pPr>
        <w:pStyle w:val="ListParagraph"/>
        <w:numPr>
          <w:ilvl w:val="0"/>
          <w:numId w:val="1"/>
        </w:numPr>
      </w:pPr>
      <w:r>
        <w:t>This pedometer tracks steps taken on an LCD screen</w:t>
      </w:r>
    </w:p>
    <w:p w:rsidR="00EB06FD" w:rsidRDefault="00EB06FD" w:rsidP="00EB06FD">
      <w:pPr>
        <w:pStyle w:val="ListParagraph"/>
        <w:numPr>
          <w:ilvl w:val="0"/>
          <w:numId w:val="1"/>
        </w:numPr>
      </w:pPr>
      <w:r>
        <w:t>Belt clip holds the pedometer to the waistband for the most accurate tracking</w:t>
      </w:r>
    </w:p>
    <w:p w:rsidR="00EB06FD" w:rsidRDefault="00EB06FD" w:rsidP="00EB06FD">
      <w:pPr>
        <w:pStyle w:val="ListParagraph"/>
        <w:numPr>
          <w:ilvl w:val="0"/>
          <w:numId w:val="1"/>
        </w:numPr>
      </w:pPr>
      <w:r>
        <w:t>Includes one button-cell battery for portable operation.</w:t>
      </w:r>
    </w:p>
    <w:p w:rsidR="00EB06FD" w:rsidRDefault="00EB06FD" w:rsidP="00816216">
      <w:pPr>
        <w:pStyle w:val="ListParagraph"/>
        <w:numPr>
          <w:ilvl w:val="0"/>
          <w:numId w:val="1"/>
        </w:numPr>
      </w:pPr>
      <w:r>
        <w:t>Size: 1-3/8" x 1-7/8" x 3/4"</w:t>
      </w:r>
    </w:p>
    <w:p w:rsidR="005960C9" w:rsidRPr="00816216" w:rsidRDefault="005960C9" w:rsidP="005960C9">
      <w:pPr>
        <w:rPr>
          <w:b/>
        </w:rPr>
      </w:pPr>
      <w:r w:rsidRPr="00816216">
        <w:rPr>
          <w:b/>
        </w:rPr>
        <w:t>Front view</w:t>
      </w:r>
    </w:p>
    <w:p w:rsidR="005960C9" w:rsidRDefault="005960C9" w:rsidP="005960C9">
      <w:r>
        <w:rPr>
          <w:noProof/>
        </w:rPr>
        <w:drawing>
          <wp:inline distT="0" distB="0" distL="0" distR="0">
            <wp:extent cx="3581400" cy="2624064"/>
            <wp:effectExtent l="19050" t="19050" r="1905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d Pedome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967" cy="262521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60C9" w:rsidRPr="00816216" w:rsidRDefault="005960C9" w:rsidP="005960C9">
      <w:pPr>
        <w:rPr>
          <w:b/>
          <w:noProof/>
        </w:rPr>
      </w:pPr>
      <w:r w:rsidRPr="00816216">
        <w:rPr>
          <w:b/>
          <w:noProof/>
        </w:rPr>
        <w:t>Back view</w:t>
      </w:r>
    </w:p>
    <w:p w:rsidR="00014881" w:rsidRDefault="005960C9" w:rsidP="005960C9">
      <w:r>
        <w:rPr>
          <w:noProof/>
        </w:rPr>
        <w:drawing>
          <wp:inline distT="0" distB="0" distL="0" distR="0">
            <wp:extent cx="3619500" cy="271462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ometer back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14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B32EE"/>
    <w:multiLevelType w:val="hybridMultilevel"/>
    <w:tmpl w:val="1EDA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C9"/>
    <w:rsid w:val="00014881"/>
    <w:rsid w:val="005960C9"/>
    <w:rsid w:val="0078177A"/>
    <w:rsid w:val="00816216"/>
    <w:rsid w:val="00E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7846">
          <w:marLeft w:val="0"/>
          <w:marRight w:val="0"/>
          <w:marTop w:val="0"/>
          <w:marBottom w:val="0"/>
          <w:divBdr>
            <w:top w:val="single" w:sz="18" w:space="8" w:color="E4E4E4"/>
            <w:left w:val="none" w:sz="0" w:space="4" w:color="auto"/>
            <w:bottom w:val="none" w:sz="0" w:space="4" w:color="auto"/>
            <w:right w:val="none" w:sz="0" w:space="0" w:color="auto"/>
          </w:divBdr>
          <w:divsChild>
            <w:div w:id="2734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2160">
          <w:marLeft w:val="12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3611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7357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8053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13303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7172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601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88518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540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7946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0125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99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122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5641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973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0025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150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277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475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5873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855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2589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43786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30365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6017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550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027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60420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583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6852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5474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3710">
                      <w:marLeft w:val="0"/>
                      <w:marRight w:val="12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4329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17860">
          <w:marLeft w:val="0"/>
          <w:marRight w:val="15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Tufts Medical Center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Fuss</dc:creator>
  <cp:lastModifiedBy>Paul Fuss</cp:lastModifiedBy>
  <cp:revision>4</cp:revision>
  <dcterms:created xsi:type="dcterms:W3CDTF">2015-03-05T15:50:00Z</dcterms:created>
  <dcterms:modified xsi:type="dcterms:W3CDTF">2015-03-05T16:37:00Z</dcterms:modified>
</cp:coreProperties>
</file>