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F9A" w:rsidRPr="003F5297" w:rsidRDefault="00F97F9A" w:rsidP="00F97F9A">
      <w:pPr>
        <w:jc w:val="both"/>
        <w:rPr>
          <w:rFonts w:cs="Arial"/>
          <w:szCs w:val="22"/>
        </w:rPr>
      </w:pPr>
      <w:bookmarkStart w:id="0" w:name="OLE_LINK1"/>
      <w:r>
        <w:rPr>
          <w:rFonts w:cs="Arial"/>
          <w:szCs w:val="22"/>
        </w:rPr>
        <w:t>Date</w:t>
      </w:r>
      <w:r>
        <w:rPr>
          <w:rFonts w:cs="Arial"/>
          <w:szCs w:val="22"/>
        </w:rPr>
        <w:tab/>
      </w:r>
      <w:r>
        <w:rPr>
          <w:rFonts w:cs="Arial"/>
          <w:szCs w:val="22"/>
        </w:rPr>
        <w:tab/>
      </w:r>
      <w:r w:rsidRPr="00F97F9A">
        <w:rPr>
          <w:rFonts w:cs="Arial"/>
          <w:i/>
          <w:szCs w:val="22"/>
        </w:rPr>
        <w:t>Month ##</w:t>
      </w:r>
      <w:r>
        <w:rPr>
          <w:rFonts w:cs="Arial"/>
          <w:szCs w:val="22"/>
        </w:rPr>
        <w:t>, 2013</w:t>
      </w:r>
    </w:p>
    <w:p w:rsidR="00F97F9A" w:rsidRPr="003F5297" w:rsidRDefault="00F97F9A" w:rsidP="00F97F9A">
      <w:pPr>
        <w:jc w:val="both"/>
        <w:rPr>
          <w:rFonts w:cs="Arial"/>
          <w:szCs w:val="22"/>
        </w:rPr>
      </w:pPr>
    </w:p>
    <w:p w:rsidR="00F97F9A" w:rsidRPr="003F5297" w:rsidRDefault="00F97F9A" w:rsidP="00F97F9A">
      <w:pPr>
        <w:jc w:val="both"/>
        <w:rPr>
          <w:rFonts w:cs="Arial"/>
          <w:szCs w:val="22"/>
        </w:rPr>
      </w:pPr>
      <w:r w:rsidRPr="003F5297">
        <w:rPr>
          <w:rFonts w:cs="Arial"/>
          <w:szCs w:val="22"/>
        </w:rPr>
        <w:t>To:</w:t>
      </w:r>
      <w:r w:rsidRPr="003F5297">
        <w:rPr>
          <w:rFonts w:cs="Arial"/>
          <w:szCs w:val="22"/>
        </w:rPr>
        <w:tab/>
      </w:r>
      <w:r w:rsidRPr="003F5297">
        <w:rPr>
          <w:rFonts w:cs="Arial"/>
          <w:szCs w:val="22"/>
        </w:rPr>
        <w:tab/>
        <w:t>Investigational Review Board</w:t>
      </w:r>
    </w:p>
    <w:p w:rsidR="00F97F9A" w:rsidRPr="003F5297" w:rsidRDefault="00F97F9A" w:rsidP="00F97F9A">
      <w:pPr>
        <w:jc w:val="both"/>
        <w:rPr>
          <w:rFonts w:cs="Arial"/>
          <w:szCs w:val="22"/>
        </w:rPr>
      </w:pPr>
      <w:r w:rsidRPr="003F5297">
        <w:rPr>
          <w:rFonts w:cs="Arial"/>
          <w:szCs w:val="22"/>
        </w:rPr>
        <w:tab/>
      </w:r>
      <w:r w:rsidRPr="003F5297">
        <w:rPr>
          <w:rFonts w:cs="Arial"/>
          <w:szCs w:val="22"/>
        </w:rPr>
        <w:tab/>
      </w:r>
    </w:p>
    <w:p w:rsidR="00F97F9A" w:rsidRPr="003F5297" w:rsidRDefault="00F97F9A" w:rsidP="00F97F9A">
      <w:pPr>
        <w:jc w:val="both"/>
        <w:rPr>
          <w:rFonts w:cs="Arial"/>
          <w:szCs w:val="22"/>
        </w:rPr>
      </w:pPr>
      <w:r w:rsidRPr="003F5297">
        <w:rPr>
          <w:rFonts w:cs="Arial"/>
          <w:szCs w:val="22"/>
        </w:rPr>
        <w:t>From:</w:t>
      </w:r>
      <w:r w:rsidRPr="003F5297">
        <w:rPr>
          <w:rFonts w:cs="Arial"/>
          <w:szCs w:val="22"/>
        </w:rPr>
        <w:tab/>
      </w:r>
      <w:r w:rsidRPr="003F5297">
        <w:rPr>
          <w:rFonts w:cs="Arial"/>
          <w:szCs w:val="22"/>
        </w:rPr>
        <w:tab/>
      </w:r>
    </w:p>
    <w:p w:rsidR="00F97F9A" w:rsidRPr="003F5297" w:rsidRDefault="00F97F9A" w:rsidP="00F97F9A">
      <w:pPr>
        <w:jc w:val="both"/>
        <w:rPr>
          <w:rFonts w:cs="Arial"/>
          <w:szCs w:val="22"/>
        </w:rPr>
      </w:pPr>
    </w:p>
    <w:p w:rsidR="00F97F9A" w:rsidRPr="00BF7401" w:rsidRDefault="00F97F9A" w:rsidP="00F97F9A">
      <w:pPr>
        <w:ind w:left="1440" w:hanging="1440"/>
        <w:jc w:val="both"/>
        <w:rPr>
          <w:rFonts w:cs="Arial"/>
          <w:szCs w:val="22"/>
        </w:rPr>
      </w:pPr>
      <w:r>
        <w:rPr>
          <w:rFonts w:cs="Arial"/>
          <w:szCs w:val="22"/>
        </w:rPr>
        <w:t>Re</w:t>
      </w:r>
      <w:r w:rsidRPr="00BF7401">
        <w:rPr>
          <w:rFonts w:cs="Arial"/>
          <w:szCs w:val="22"/>
        </w:rPr>
        <w:t>:</w:t>
      </w:r>
      <w:r w:rsidRPr="00BF7401">
        <w:rPr>
          <w:rFonts w:cs="Arial"/>
          <w:szCs w:val="22"/>
        </w:rPr>
        <w:tab/>
      </w:r>
      <w:r w:rsidRPr="00FE1F88">
        <w:rPr>
          <w:rFonts w:cs="Arial"/>
          <w:szCs w:val="22"/>
          <w:u w:val="single"/>
        </w:rPr>
        <w:t>Amendment</w:t>
      </w:r>
      <w:r>
        <w:rPr>
          <w:rFonts w:cs="Arial"/>
          <w:szCs w:val="22"/>
        </w:rPr>
        <w:t xml:space="preserve"> </w:t>
      </w:r>
      <w:r w:rsidRPr="00FE1F88">
        <w:rPr>
          <w:rFonts w:cs="Arial"/>
          <w:szCs w:val="22"/>
        </w:rPr>
        <w:t>to</w:t>
      </w:r>
      <w:r>
        <w:rPr>
          <w:rFonts w:cs="Arial"/>
          <w:szCs w:val="22"/>
        </w:rPr>
        <w:t xml:space="preserve"> IRB study # __________</w:t>
      </w:r>
      <w:r w:rsidRPr="00BF7401">
        <w:rPr>
          <w:rFonts w:cs="Arial"/>
          <w:szCs w:val="22"/>
        </w:rPr>
        <w:t>Vitamin D and Type 2 Diabetes (D2d</w:t>
      </w:r>
      <w:r>
        <w:rPr>
          <w:rFonts w:cs="Arial"/>
          <w:szCs w:val="22"/>
        </w:rPr>
        <w:t>)</w:t>
      </w:r>
    </w:p>
    <w:p w:rsidR="00F97F9A" w:rsidRPr="00BF7401" w:rsidRDefault="00F97F9A" w:rsidP="00F97F9A">
      <w:pPr>
        <w:jc w:val="both"/>
        <w:rPr>
          <w:rFonts w:cs="Arial"/>
          <w:szCs w:val="22"/>
        </w:rPr>
      </w:pPr>
      <w:r>
        <w:rPr>
          <w:rFonts w:cs="Arial"/>
          <w:szCs w:val="22"/>
        </w:rPr>
        <w:t xml:space="preserve"> </w:t>
      </w:r>
    </w:p>
    <w:p w:rsidR="00F97F9A" w:rsidRDefault="00F97F9A" w:rsidP="00F97F9A">
      <w:pPr>
        <w:jc w:val="both"/>
        <w:rPr>
          <w:rFonts w:cs="Arial"/>
          <w:szCs w:val="22"/>
        </w:rPr>
      </w:pPr>
      <w:r>
        <w:rPr>
          <w:rFonts w:cs="Arial"/>
          <w:szCs w:val="22"/>
        </w:rPr>
        <w:t>Dear ________________,</w:t>
      </w:r>
    </w:p>
    <w:p w:rsidR="00F97F9A" w:rsidRDefault="00F97F9A" w:rsidP="00F97F9A">
      <w:pPr>
        <w:jc w:val="both"/>
        <w:rPr>
          <w:rFonts w:cs="Arial"/>
          <w:szCs w:val="22"/>
        </w:rPr>
      </w:pPr>
    </w:p>
    <w:p w:rsidR="00F97F9A" w:rsidRDefault="00F97F9A" w:rsidP="00F97F9A">
      <w:pPr>
        <w:jc w:val="both"/>
        <w:rPr>
          <w:rFonts w:cs="Arial"/>
          <w:szCs w:val="22"/>
        </w:rPr>
      </w:pPr>
      <w:r>
        <w:rPr>
          <w:rFonts w:cs="Arial"/>
          <w:szCs w:val="22"/>
        </w:rPr>
        <w:t>We are submitting a new version of the D2d study protocol (</w:t>
      </w:r>
      <w:r w:rsidRPr="00F3668F">
        <w:rPr>
          <w:rFonts w:cs="Arial"/>
          <w:b/>
          <w:szCs w:val="22"/>
        </w:rPr>
        <w:t>version 1.4 | 2013.7.15</w:t>
      </w:r>
      <w:r>
        <w:rPr>
          <w:rFonts w:cs="Arial"/>
          <w:szCs w:val="22"/>
        </w:rPr>
        <w:t>) and associated documents with improvements that were made in response to the initial review by the D2d DSMB, which took place on May 31</w:t>
      </w:r>
      <w:r w:rsidRPr="004450BF">
        <w:rPr>
          <w:rFonts w:cs="Arial"/>
          <w:szCs w:val="22"/>
          <w:vertAlign w:val="superscript"/>
        </w:rPr>
        <w:t>st</w:t>
      </w:r>
      <w:r>
        <w:rPr>
          <w:rFonts w:cs="Arial"/>
          <w:szCs w:val="22"/>
        </w:rPr>
        <w:t xml:space="preserve"> 2013, and the D2d Investigators’ kick-off meeting, which took place on July 10</w:t>
      </w:r>
      <w:r w:rsidRPr="004450BF">
        <w:rPr>
          <w:rFonts w:cs="Arial"/>
          <w:szCs w:val="22"/>
          <w:vertAlign w:val="superscript"/>
        </w:rPr>
        <w:t>th</w:t>
      </w:r>
      <w:r>
        <w:rPr>
          <w:rFonts w:cs="Arial"/>
          <w:szCs w:val="22"/>
        </w:rPr>
        <w:t xml:space="preserve"> 2013. The D2d DSMB approved the attached (revised) protocol on July 17</w:t>
      </w:r>
      <w:r w:rsidRPr="004450BF">
        <w:rPr>
          <w:rFonts w:cs="Arial"/>
          <w:szCs w:val="22"/>
          <w:vertAlign w:val="superscript"/>
        </w:rPr>
        <w:t>th</w:t>
      </w:r>
      <w:r>
        <w:rPr>
          <w:rFonts w:cs="Arial"/>
          <w:szCs w:val="22"/>
        </w:rPr>
        <w:t xml:space="preserve"> 2013. The D2d DSMB approval letter is submitted with this amendment.  </w:t>
      </w:r>
    </w:p>
    <w:p w:rsidR="00F97F9A" w:rsidRPr="004450BF" w:rsidRDefault="00F97F9A" w:rsidP="00F97F9A">
      <w:pPr>
        <w:jc w:val="both"/>
        <w:rPr>
          <w:rFonts w:cs="Arial"/>
          <w:szCs w:val="22"/>
        </w:rPr>
      </w:pPr>
    </w:p>
    <w:p w:rsidR="00F97F9A" w:rsidRPr="004450BF" w:rsidRDefault="00F97F9A" w:rsidP="00F97F9A">
      <w:pPr>
        <w:jc w:val="both"/>
        <w:rPr>
          <w:rFonts w:cs="Arial"/>
          <w:szCs w:val="22"/>
        </w:rPr>
      </w:pPr>
      <w:r>
        <w:rPr>
          <w:rFonts w:cs="Arial"/>
          <w:szCs w:val="22"/>
        </w:rPr>
        <w:t>Below we itemize c</w:t>
      </w:r>
      <w:r w:rsidRPr="004450BF">
        <w:rPr>
          <w:rFonts w:cs="Arial"/>
          <w:szCs w:val="22"/>
        </w:rPr>
        <w:t>hanges</w:t>
      </w:r>
      <w:r>
        <w:rPr>
          <w:rFonts w:cs="Arial"/>
          <w:szCs w:val="22"/>
        </w:rPr>
        <w:t xml:space="preserve"> in the order they appear in the new protocol (version 1.4, date 2013.7.15) and DSMP section. These changes are also summarized in the protocol itself (pages 6-7) as changes compared to protocol version 1.3 | 2013.4.15 (submitted previously to IRB) and as additional changes compared to protocol version 1.4 | 2013.7.3 (prior version approved by the D2d DSMB).</w:t>
      </w:r>
    </w:p>
    <w:p w:rsidR="00F97F9A" w:rsidRPr="004450BF" w:rsidRDefault="00F97F9A" w:rsidP="00F97F9A">
      <w:pPr>
        <w:jc w:val="both"/>
        <w:rPr>
          <w:rFonts w:cs="Arial"/>
          <w:szCs w:val="22"/>
        </w:rPr>
      </w:pPr>
    </w:p>
    <w:p w:rsidR="00F97F9A" w:rsidRDefault="00F97F9A" w:rsidP="00F97F9A">
      <w:pPr>
        <w:ind w:left="720" w:hanging="720"/>
        <w:jc w:val="both"/>
        <w:rPr>
          <w:rFonts w:cs="Arial"/>
          <w:szCs w:val="22"/>
        </w:rPr>
      </w:pPr>
      <w:r>
        <w:rPr>
          <w:rFonts w:cs="Arial"/>
          <w:szCs w:val="22"/>
        </w:rPr>
        <w:t>1.</w:t>
      </w:r>
      <w:r>
        <w:rPr>
          <w:rFonts w:cs="Arial"/>
          <w:szCs w:val="22"/>
        </w:rPr>
        <w:tab/>
        <w:t xml:space="preserve">The </w:t>
      </w:r>
      <w:r w:rsidRPr="00811968">
        <w:rPr>
          <w:rFonts w:cs="Arial"/>
          <w:i/>
          <w:szCs w:val="22"/>
        </w:rPr>
        <w:t>Synopsis</w:t>
      </w:r>
      <w:r>
        <w:rPr>
          <w:rFonts w:cs="Arial"/>
          <w:szCs w:val="22"/>
        </w:rPr>
        <w:t xml:space="preserve"> section and </w:t>
      </w:r>
      <w:r w:rsidRPr="00811968">
        <w:rPr>
          <w:rFonts w:cs="Arial"/>
          <w:i/>
          <w:szCs w:val="22"/>
        </w:rPr>
        <w:t>Schedule of Procedures</w:t>
      </w:r>
      <w:r>
        <w:rPr>
          <w:rFonts w:cs="Arial"/>
          <w:szCs w:val="22"/>
        </w:rPr>
        <w:t xml:space="preserve"> table were changed to reflect protocol changes.</w:t>
      </w:r>
    </w:p>
    <w:p w:rsidR="00F97F9A" w:rsidRDefault="00F97F9A" w:rsidP="00F97F9A">
      <w:pPr>
        <w:jc w:val="both"/>
        <w:rPr>
          <w:rFonts w:cs="Arial"/>
          <w:szCs w:val="22"/>
        </w:rPr>
      </w:pPr>
    </w:p>
    <w:p w:rsidR="00F97F9A" w:rsidRPr="009E6FCC" w:rsidRDefault="00F97F9A" w:rsidP="00F97F9A">
      <w:pPr>
        <w:ind w:left="720" w:hanging="720"/>
        <w:jc w:val="both"/>
        <w:rPr>
          <w:rFonts w:cs="Arial"/>
          <w:szCs w:val="22"/>
        </w:rPr>
      </w:pPr>
      <w:r w:rsidRPr="009E6FCC">
        <w:rPr>
          <w:rFonts w:cs="Arial"/>
          <w:szCs w:val="22"/>
        </w:rPr>
        <w:t>5.</w:t>
      </w:r>
      <w:r w:rsidRPr="009E6FCC">
        <w:rPr>
          <w:rFonts w:cs="Arial"/>
          <w:szCs w:val="22"/>
        </w:rPr>
        <w:tab/>
        <w:t>Inclusion/exclusion criteria were clarified as follows: BMI cutoff</w:t>
      </w:r>
      <w:r>
        <w:rPr>
          <w:rFonts w:cs="Arial"/>
          <w:szCs w:val="22"/>
        </w:rPr>
        <w:t xml:space="preserve"> values are shown to the first decimal point, e.g.,</w:t>
      </w:r>
      <w:r w:rsidRPr="009E6FCC">
        <w:rPr>
          <w:rFonts w:cs="Arial"/>
          <w:szCs w:val="22"/>
        </w:rPr>
        <w:t xml:space="preserve"> 40.0 instead of 40 kg/m</w:t>
      </w:r>
      <w:r w:rsidRPr="009E6FCC">
        <w:rPr>
          <w:rFonts w:cs="Arial"/>
          <w:szCs w:val="22"/>
          <w:vertAlign w:val="superscript"/>
        </w:rPr>
        <w:t>2</w:t>
      </w:r>
      <w:r w:rsidRPr="009E6FCC">
        <w:rPr>
          <w:rFonts w:cs="Arial"/>
          <w:szCs w:val="22"/>
        </w:rPr>
        <w:t>; gastric banding (</w:t>
      </w:r>
      <w:r>
        <w:rPr>
          <w:rFonts w:cs="Arial"/>
          <w:szCs w:val="22"/>
        </w:rPr>
        <w:t>past</w:t>
      </w:r>
      <w:r w:rsidRPr="009E6FCC">
        <w:rPr>
          <w:rFonts w:cs="Arial"/>
          <w:szCs w:val="22"/>
        </w:rPr>
        <w:t xml:space="preserve"> 3 years) with self-reported weight stability (defined as weight change no greater than 3 kg</w:t>
      </w:r>
      <w:r>
        <w:rPr>
          <w:rFonts w:cs="Arial"/>
          <w:szCs w:val="22"/>
        </w:rPr>
        <w:t xml:space="preserve"> during the past 3 months</w:t>
      </w:r>
      <w:r w:rsidRPr="009E6FCC">
        <w:rPr>
          <w:rFonts w:cs="Arial"/>
          <w:szCs w:val="22"/>
        </w:rPr>
        <w:t>) is not an exclusion criterion; menopausal hormone therapy started within 3 months is an exclusion criterion. Platelet donation is not an exclusion criterion.</w:t>
      </w:r>
    </w:p>
    <w:p w:rsidR="00F97F9A" w:rsidRDefault="00F97F9A" w:rsidP="00F97F9A">
      <w:pPr>
        <w:ind w:left="720" w:hanging="720"/>
        <w:jc w:val="both"/>
        <w:rPr>
          <w:szCs w:val="22"/>
        </w:rPr>
      </w:pPr>
    </w:p>
    <w:p w:rsidR="00F97F9A" w:rsidRPr="00900109" w:rsidRDefault="00F97F9A" w:rsidP="00F97F9A">
      <w:pPr>
        <w:ind w:left="720" w:hanging="720"/>
        <w:jc w:val="both"/>
        <w:rPr>
          <w:szCs w:val="22"/>
        </w:rPr>
      </w:pPr>
      <w:r w:rsidRPr="00900109">
        <w:rPr>
          <w:szCs w:val="22"/>
        </w:rPr>
        <w:t>6.5.</w:t>
      </w:r>
      <w:r w:rsidRPr="00900109">
        <w:rPr>
          <w:szCs w:val="22"/>
        </w:rPr>
        <w:tab/>
        <w:t xml:space="preserve">The physical examination by the study physician was moved to the baseline visit (during the second phase of the screening). </w:t>
      </w:r>
    </w:p>
    <w:p w:rsidR="00F97F9A" w:rsidRDefault="00F97F9A" w:rsidP="00F97F9A">
      <w:pPr>
        <w:jc w:val="both"/>
        <w:rPr>
          <w:rFonts w:cs="Arial"/>
          <w:szCs w:val="22"/>
        </w:rPr>
      </w:pPr>
    </w:p>
    <w:p w:rsidR="00F97F9A" w:rsidRPr="009E6FCC" w:rsidRDefault="00F97F9A" w:rsidP="00F97F9A">
      <w:pPr>
        <w:ind w:left="720" w:hanging="720"/>
        <w:jc w:val="both"/>
        <w:rPr>
          <w:rFonts w:cs="Arial"/>
          <w:szCs w:val="22"/>
        </w:rPr>
      </w:pPr>
      <w:r>
        <w:rPr>
          <w:rFonts w:cs="Arial"/>
          <w:szCs w:val="22"/>
        </w:rPr>
        <w:t>7.3.3.</w:t>
      </w:r>
      <w:r w:rsidRPr="009E6FCC">
        <w:rPr>
          <w:rFonts w:cs="Arial"/>
          <w:szCs w:val="22"/>
        </w:rPr>
        <w:tab/>
        <w:t xml:space="preserve">If after unmasking </w:t>
      </w:r>
      <w:r>
        <w:rPr>
          <w:rFonts w:cs="Arial"/>
          <w:szCs w:val="22"/>
        </w:rPr>
        <w:t>occurs to</w:t>
      </w:r>
      <w:r w:rsidRPr="009E6FCC">
        <w:rPr>
          <w:rFonts w:cs="Arial"/>
          <w:szCs w:val="22"/>
        </w:rPr>
        <w:t xml:space="preserve"> evaluate an adverse event, it is determined that study pills are not related to the adverse event, participant</w:t>
      </w:r>
      <w:r>
        <w:rPr>
          <w:rFonts w:cs="Arial"/>
          <w:szCs w:val="22"/>
        </w:rPr>
        <w:t xml:space="preserve"> will resume taking study pills</w:t>
      </w:r>
      <w:r w:rsidRPr="009E6FCC">
        <w:rPr>
          <w:rFonts w:cs="Arial"/>
          <w:szCs w:val="22"/>
        </w:rPr>
        <w:t xml:space="preserve"> consistent with the intention-to-treat principle.</w:t>
      </w:r>
    </w:p>
    <w:p w:rsidR="00F97F9A" w:rsidRPr="009E6FCC" w:rsidRDefault="00F97F9A" w:rsidP="00F97F9A">
      <w:pPr>
        <w:ind w:left="720" w:hanging="720"/>
        <w:jc w:val="both"/>
        <w:rPr>
          <w:rFonts w:cs="Arial"/>
          <w:szCs w:val="22"/>
        </w:rPr>
      </w:pPr>
    </w:p>
    <w:p w:rsidR="00F97F9A" w:rsidRPr="009E6FCC" w:rsidRDefault="00F97F9A" w:rsidP="00F97F9A">
      <w:pPr>
        <w:ind w:left="720" w:hanging="720"/>
        <w:jc w:val="both"/>
      </w:pPr>
      <w:r w:rsidRPr="009E6FCC">
        <w:t>8.1.</w:t>
      </w:r>
      <w:r w:rsidRPr="009E6FCC">
        <w:tab/>
        <w:t>An end-of-study visit has been added</w:t>
      </w:r>
      <w:r>
        <w:t xml:space="preserve"> and </w:t>
      </w:r>
      <w:r w:rsidRPr="009E6FCC">
        <w:t>FPG and HbA1c will be measured</w:t>
      </w:r>
      <w:r>
        <w:t>.  T</w:t>
      </w:r>
      <w:r w:rsidRPr="009E6FCC">
        <w:t>he algorithm for the semi-annual visit (Protocol Figure 9.1.2) will be followed to assess for incident diabetes. Serum calcium</w:t>
      </w:r>
      <w:r>
        <w:t>, serum creatinine</w:t>
      </w:r>
      <w:r w:rsidRPr="009E6FCC">
        <w:t xml:space="preserve"> and urine calcium-creatinine will also be measured at that visit.</w:t>
      </w:r>
    </w:p>
    <w:p w:rsidR="00F97F9A" w:rsidRDefault="00F97F9A" w:rsidP="00F97F9A">
      <w:pPr>
        <w:jc w:val="both"/>
        <w:rPr>
          <w:rFonts w:cs="Arial"/>
          <w:szCs w:val="22"/>
        </w:rPr>
      </w:pPr>
    </w:p>
    <w:p w:rsidR="00F97F9A" w:rsidRPr="00A557BA" w:rsidRDefault="00F97F9A" w:rsidP="00F97F9A">
      <w:pPr>
        <w:ind w:left="720" w:hanging="720"/>
        <w:jc w:val="both"/>
        <w:rPr>
          <w:rFonts w:cs="Arial"/>
          <w:szCs w:val="22"/>
        </w:rPr>
      </w:pPr>
      <w:r>
        <w:rPr>
          <w:rFonts w:cs="Arial"/>
          <w:szCs w:val="22"/>
        </w:rPr>
        <w:t>8.1.</w:t>
      </w:r>
      <w:r>
        <w:rPr>
          <w:rFonts w:cs="Arial"/>
          <w:szCs w:val="22"/>
        </w:rPr>
        <w:tab/>
      </w:r>
      <w:r w:rsidRPr="00A557BA">
        <w:rPr>
          <w:rFonts w:cs="Arial"/>
          <w:szCs w:val="22"/>
        </w:rPr>
        <w:t>There will be a phone call appro</w:t>
      </w:r>
      <w:r>
        <w:rPr>
          <w:rFonts w:cs="Arial"/>
          <w:szCs w:val="22"/>
        </w:rPr>
        <w:t>ximately 6 weeks after the end-of-study visit</w:t>
      </w:r>
      <w:r w:rsidRPr="00A557BA">
        <w:rPr>
          <w:rFonts w:cs="Arial"/>
          <w:szCs w:val="22"/>
        </w:rPr>
        <w:t xml:space="preserve"> to assess for adverse events</w:t>
      </w:r>
      <w:r>
        <w:rPr>
          <w:rFonts w:cs="Arial"/>
          <w:szCs w:val="22"/>
        </w:rPr>
        <w:t xml:space="preserve"> due to potential residual effects from the study pills</w:t>
      </w:r>
      <w:r w:rsidRPr="00A557BA">
        <w:rPr>
          <w:rFonts w:cs="Arial"/>
          <w:szCs w:val="22"/>
        </w:rPr>
        <w:t>.</w:t>
      </w:r>
      <w:r w:rsidRPr="00A557BA">
        <w:t xml:space="preserve"> </w:t>
      </w:r>
    </w:p>
    <w:p w:rsidR="00F97F9A" w:rsidRPr="00A557BA" w:rsidRDefault="00F97F9A" w:rsidP="00F97F9A">
      <w:pPr>
        <w:ind w:left="720" w:hanging="720"/>
        <w:jc w:val="both"/>
      </w:pPr>
    </w:p>
    <w:p w:rsidR="00F97F9A" w:rsidRPr="00B70E17" w:rsidRDefault="00F97F9A" w:rsidP="00F97F9A">
      <w:pPr>
        <w:ind w:left="720" w:hanging="720"/>
        <w:jc w:val="both"/>
        <w:rPr>
          <w:rFonts w:cs="Arial"/>
          <w:szCs w:val="22"/>
        </w:rPr>
      </w:pPr>
      <w:r>
        <w:rPr>
          <w:rFonts w:cs="Arial"/>
          <w:szCs w:val="22"/>
        </w:rPr>
        <w:t>8.2.</w:t>
      </w:r>
      <w:r>
        <w:rPr>
          <w:rFonts w:cs="Arial"/>
          <w:szCs w:val="22"/>
        </w:rPr>
        <w:tab/>
      </w:r>
      <w:r w:rsidRPr="00593E63">
        <w:t xml:space="preserve">Results of laboratory </w:t>
      </w:r>
      <w:r>
        <w:t xml:space="preserve">outcome </w:t>
      </w:r>
      <w:r w:rsidRPr="00593E63">
        <w:t>tests</w:t>
      </w:r>
      <w:r>
        <w:t xml:space="preserve"> </w:t>
      </w:r>
      <w:r w:rsidRPr="004450BF">
        <w:rPr>
          <w:rFonts w:cs="Arial"/>
          <w:szCs w:val="22"/>
        </w:rPr>
        <w:t>(</w:t>
      </w:r>
      <w:r>
        <w:rPr>
          <w:rFonts w:cs="Arial"/>
          <w:szCs w:val="22"/>
        </w:rPr>
        <w:t xml:space="preserve">i.e., </w:t>
      </w:r>
      <w:r w:rsidRPr="004450BF">
        <w:rPr>
          <w:rFonts w:cs="Arial"/>
          <w:szCs w:val="22"/>
        </w:rPr>
        <w:t>fasting plasma glucose, H</w:t>
      </w:r>
      <w:r>
        <w:rPr>
          <w:rFonts w:cs="Arial"/>
          <w:szCs w:val="22"/>
        </w:rPr>
        <w:t xml:space="preserve">bA1c, 2-hour post-load glucose) </w:t>
      </w:r>
      <w:r>
        <w:t>are not</w:t>
      </w:r>
      <w:r w:rsidRPr="00593E63">
        <w:t xml:space="preserve"> provided to </w:t>
      </w:r>
      <w:r>
        <w:t xml:space="preserve">site staff, </w:t>
      </w:r>
      <w:r w:rsidRPr="00593E63">
        <w:t xml:space="preserve">participants </w:t>
      </w:r>
      <w:r>
        <w:t xml:space="preserve">or health care provider(s) </w:t>
      </w:r>
      <w:r w:rsidRPr="00593E63">
        <w:t xml:space="preserve">with the exception of the results obtained at the screening </w:t>
      </w:r>
      <w:r>
        <w:t xml:space="preserve">and baseline </w:t>
      </w:r>
      <w:r w:rsidRPr="00593E63">
        <w:t>visit</w:t>
      </w:r>
      <w:r>
        <w:t>s. During the study, t</w:t>
      </w:r>
      <w:r w:rsidRPr="00EB7459">
        <w:t xml:space="preserve">he </w:t>
      </w:r>
      <w:r>
        <w:t xml:space="preserve">web-based </w:t>
      </w:r>
      <w:r w:rsidRPr="00EB7459">
        <w:t>electronic data capture</w:t>
      </w:r>
      <w:r>
        <w:t xml:space="preserve"> (EDC)</w:t>
      </w:r>
      <w:r w:rsidRPr="00EB7459">
        <w:t xml:space="preserve"> system will </w:t>
      </w:r>
      <w:r>
        <w:t xml:space="preserve">notify sites only that results do not meet criteria for diabetes or do meet criteria for diabetes or </w:t>
      </w:r>
      <w:r w:rsidRPr="00EB7459">
        <w:t xml:space="preserve">confirmatory testing is needed. </w:t>
      </w:r>
      <w:r>
        <w:t>After a participant reaches the primary endpoint of diabetes, glycemic results will be shared with site staff, participants and their health care provider(s)</w:t>
      </w:r>
      <w:r w:rsidRPr="00593E63">
        <w:t>.</w:t>
      </w:r>
    </w:p>
    <w:p w:rsidR="00F97F9A" w:rsidRDefault="00F97F9A" w:rsidP="00F97F9A">
      <w:pPr>
        <w:ind w:left="720" w:hanging="720"/>
        <w:jc w:val="both"/>
        <w:rPr>
          <w:rFonts w:cs="Arial"/>
          <w:szCs w:val="22"/>
        </w:rPr>
      </w:pPr>
    </w:p>
    <w:p w:rsidR="00F97F9A" w:rsidRPr="00DE4B17" w:rsidRDefault="00F97F9A" w:rsidP="00F97F9A">
      <w:pPr>
        <w:ind w:left="720" w:hanging="720"/>
        <w:jc w:val="both"/>
        <w:rPr>
          <w:rFonts w:cs="Arial"/>
          <w:szCs w:val="22"/>
        </w:rPr>
      </w:pPr>
      <w:r w:rsidRPr="00DE4B17">
        <w:rPr>
          <w:rFonts w:cs="Arial"/>
        </w:rPr>
        <w:lastRenderedPageBreak/>
        <w:t>8.2.3.</w:t>
      </w:r>
      <w:r w:rsidRPr="00DE4B17">
        <w:rPr>
          <w:rFonts w:cs="Arial"/>
        </w:rPr>
        <w:tab/>
        <w:t xml:space="preserve">After participants reach the diagnosis of diabetes, </w:t>
      </w:r>
      <w:r w:rsidRPr="00DE4B17">
        <w:rPr>
          <w:rFonts w:cs="Arial"/>
          <w:szCs w:val="22"/>
        </w:rPr>
        <w:t xml:space="preserve">they will continue taking study pills without unmasking and will complete all subsequent planned visits. The DSMB felt that continuing study pills would </w:t>
      </w:r>
      <w:r>
        <w:rPr>
          <w:rFonts w:cs="Arial"/>
          <w:szCs w:val="22"/>
        </w:rPr>
        <w:t>provide an opportunity to</w:t>
      </w:r>
      <w:r w:rsidRPr="00DE4B17">
        <w:rPr>
          <w:rFonts w:cs="Arial"/>
          <w:szCs w:val="22"/>
        </w:rPr>
        <w:t xml:space="preserve"> evaluate the effect of the study intervention on the natural history of </w:t>
      </w:r>
      <w:r>
        <w:rPr>
          <w:rFonts w:cs="Arial"/>
          <w:szCs w:val="22"/>
        </w:rPr>
        <w:t>diabetes and whether it has an additional benefit as an add-on to diabetes pharmacotherapy (e.g. metformin).</w:t>
      </w:r>
      <w:r w:rsidRPr="00DE4B17">
        <w:rPr>
          <w:rFonts w:cs="Arial"/>
          <w:szCs w:val="22"/>
        </w:rPr>
        <w:t xml:space="preserve"> </w:t>
      </w:r>
    </w:p>
    <w:p w:rsidR="00F97F9A" w:rsidRDefault="00F97F9A" w:rsidP="00F97F9A">
      <w:pPr>
        <w:ind w:left="720" w:hanging="720"/>
        <w:jc w:val="both"/>
        <w:rPr>
          <w:szCs w:val="22"/>
        </w:rPr>
      </w:pPr>
    </w:p>
    <w:p w:rsidR="00F97F9A" w:rsidRPr="009765F8" w:rsidRDefault="00F97F9A" w:rsidP="00F97F9A">
      <w:pPr>
        <w:ind w:left="720" w:hanging="720"/>
        <w:jc w:val="both"/>
        <w:rPr>
          <w:rFonts w:cs="Arial"/>
          <w:szCs w:val="22"/>
        </w:rPr>
      </w:pPr>
      <w:r>
        <w:rPr>
          <w:szCs w:val="22"/>
        </w:rPr>
        <w:t>8.6.</w:t>
      </w:r>
      <w:r>
        <w:rPr>
          <w:szCs w:val="22"/>
        </w:rPr>
        <w:tab/>
      </w:r>
      <w:r w:rsidRPr="000435ED">
        <w:rPr>
          <w:szCs w:val="22"/>
        </w:rPr>
        <w:t xml:space="preserve">For participants who become pregnant </w:t>
      </w:r>
      <w:r w:rsidRPr="002E6D91">
        <w:rPr>
          <w:szCs w:val="22"/>
        </w:rPr>
        <w:t xml:space="preserve">during the study, </w:t>
      </w:r>
      <w:r w:rsidRPr="002E6D91">
        <w:rPr>
          <w:rFonts w:cs="ArialMT"/>
          <w:szCs w:val="22"/>
        </w:rPr>
        <w:t>study pills and study procedures will be held, i.e. participant will become</w:t>
      </w:r>
      <w:r>
        <w:rPr>
          <w:rFonts w:cs="ArialMT"/>
          <w:szCs w:val="22"/>
        </w:rPr>
        <w:t xml:space="preserve"> “inactive</w:t>
      </w:r>
      <w:r w:rsidRPr="002E6D91">
        <w:rPr>
          <w:rFonts w:cs="ArialMT"/>
          <w:szCs w:val="22"/>
        </w:rPr>
        <w:t>”</w:t>
      </w:r>
      <w:r>
        <w:rPr>
          <w:rFonts w:cs="ArialMT"/>
          <w:szCs w:val="22"/>
        </w:rPr>
        <w:t xml:space="preserve"> (defined as stopping study pills and not attending study visits)</w:t>
      </w:r>
      <w:r w:rsidRPr="002E6D91">
        <w:rPr>
          <w:rFonts w:cs="ArialMT"/>
          <w:szCs w:val="22"/>
        </w:rPr>
        <w:t xml:space="preserve"> but she will not go off study and will be encouraged to remain in the study and return for scheduled assessments after completion of pregnancy. If the woman agrees to remain in the study, laboratory testing will resume at 8 weeks post-partum.  Study pills will resume after </w:t>
      </w:r>
      <w:r>
        <w:rPr>
          <w:rFonts w:cs="ArialMT"/>
          <w:szCs w:val="22"/>
        </w:rPr>
        <w:t>participant ceases lactation or</w:t>
      </w:r>
      <w:r w:rsidRPr="002E6D91">
        <w:rPr>
          <w:rFonts w:cs="ArialMT"/>
          <w:szCs w:val="22"/>
        </w:rPr>
        <w:t xml:space="preserve"> after 8 weeks post-partum (whichever is later).</w:t>
      </w:r>
    </w:p>
    <w:p w:rsidR="00F97F9A" w:rsidRPr="00A557BA" w:rsidRDefault="00F97F9A" w:rsidP="00F97F9A">
      <w:pPr>
        <w:jc w:val="both"/>
        <w:rPr>
          <w:rFonts w:cs="Arial"/>
          <w:szCs w:val="22"/>
        </w:rPr>
      </w:pPr>
    </w:p>
    <w:p w:rsidR="00F97F9A" w:rsidRDefault="00F97F9A" w:rsidP="00F97F9A">
      <w:pPr>
        <w:ind w:left="720" w:hanging="720"/>
        <w:rPr>
          <w:szCs w:val="22"/>
        </w:rPr>
      </w:pPr>
      <w:r w:rsidRPr="004873ED">
        <w:rPr>
          <w:szCs w:val="22"/>
        </w:rPr>
        <w:t>10.1.2.</w:t>
      </w:r>
      <w:r w:rsidRPr="004873ED">
        <w:rPr>
          <w:szCs w:val="22"/>
        </w:rPr>
        <w:tab/>
        <w:t>The list of “expected” adverse events was modified to include only what would be reasonabl</w:t>
      </w:r>
      <w:r>
        <w:rPr>
          <w:szCs w:val="22"/>
        </w:rPr>
        <w:t>y</w:t>
      </w:r>
      <w:r w:rsidRPr="004873ED">
        <w:rPr>
          <w:szCs w:val="22"/>
        </w:rPr>
        <w:t xml:space="preserve"> expect</w:t>
      </w:r>
      <w:r>
        <w:rPr>
          <w:szCs w:val="22"/>
        </w:rPr>
        <w:t>ed</w:t>
      </w:r>
      <w:r w:rsidRPr="004873ED">
        <w:rPr>
          <w:szCs w:val="22"/>
        </w:rPr>
        <w:t xml:space="preserve"> </w:t>
      </w:r>
      <w:r>
        <w:rPr>
          <w:szCs w:val="22"/>
        </w:rPr>
        <w:t>to occur</w:t>
      </w:r>
      <w:r w:rsidRPr="004873ED">
        <w:rPr>
          <w:szCs w:val="22"/>
        </w:rPr>
        <w:t xml:space="preserve"> as a result of study pills and the study intervention. </w:t>
      </w:r>
    </w:p>
    <w:p w:rsidR="00F97F9A" w:rsidRDefault="00F97F9A" w:rsidP="00F97F9A">
      <w:pPr>
        <w:jc w:val="both"/>
      </w:pPr>
    </w:p>
    <w:p w:rsidR="00F97F9A" w:rsidRDefault="00F97F9A" w:rsidP="00F97F9A">
      <w:pPr>
        <w:ind w:left="720" w:hanging="720"/>
        <w:jc w:val="both"/>
        <w:rPr>
          <w:rFonts w:cs="Arial"/>
          <w:szCs w:val="22"/>
        </w:rPr>
      </w:pPr>
      <w:r>
        <w:rPr>
          <w:rFonts w:cs="Arial"/>
          <w:szCs w:val="22"/>
        </w:rPr>
        <w:t>11.</w:t>
      </w:r>
      <w:r>
        <w:rPr>
          <w:rFonts w:cs="Arial"/>
          <w:szCs w:val="22"/>
        </w:rPr>
        <w:tab/>
        <w:t>Study design was</w:t>
      </w:r>
      <w:r w:rsidRPr="002814CB">
        <w:rPr>
          <w:rFonts w:cs="Arial"/>
          <w:szCs w:val="22"/>
        </w:rPr>
        <w:t xml:space="preserve"> c</w:t>
      </w:r>
      <w:r>
        <w:rPr>
          <w:rFonts w:cs="Arial"/>
          <w:szCs w:val="22"/>
        </w:rPr>
        <w:t>hanged to an event-driven trial, which means that D2d will continue until the required number of events is reached.</w:t>
      </w:r>
      <w:r w:rsidRPr="002814CB">
        <w:rPr>
          <w:rFonts w:cs="Arial"/>
          <w:szCs w:val="22"/>
        </w:rPr>
        <w:t xml:space="preserve"> </w:t>
      </w:r>
      <w:r>
        <w:t>The main implication of this change is that follow up periods are estimates only and will depend on rates of enrollment and retention.</w:t>
      </w:r>
      <w:r w:rsidRPr="002814CB">
        <w:rPr>
          <w:rFonts w:cs="Arial"/>
          <w:szCs w:val="22"/>
        </w:rPr>
        <w:t xml:space="preserve"> </w:t>
      </w:r>
      <w:r>
        <w:t>It is anticipated that p</w:t>
      </w:r>
      <w:r w:rsidRPr="00593E63">
        <w:t xml:space="preserve">articipants will be followed for </w:t>
      </w:r>
      <w:r>
        <w:t>approximately</w:t>
      </w:r>
      <w:r w:rsidRPr="00593E63">
        <w:t xml:space="preserve"> 4 years for </w:t>
      </w:r>
      <w:r>
        <w:t>the primary outcome</w:t>
      </w:r>
      <w:r w:rsidRPr="00593E63">
        <w:t xml:space="preserve">, diabetes. </w:t>
      </w:r>
      <w:r w:rsidRPr="002814CB">
        <w:rPr>
          <w:rFonts w:cs="Arial"/>
          <w:szCs w:val="22"/>
        </w:rPr>
        <w:t xml:space="preserve">We have changed the protocol and </w:t>
      </w:r>
      <w:r>
        <w:rPr>
          <w:rFonts w:cs="Arial"/>
          <w:szCs w:val="22"/>
        </w:rPr>
        <w:t xml:space="preserve">main </w:t>
      </w:r>
      <w:r w:rsidRPr="002814CB">
        <w:rPr>
          <w:rFonts w:cs="Arial"/>
          <w:szCs w:val="22"/>
        </w:rPr>
        <w:t>ICF to indicate that study duration will be “approximately 4 years.”</w:t>
      </w:r>
    </w:p>
    <w:p w:rsidR="00F97F9A" w:rsidRDefault="00F97F9A" w:rsidP="00F97F9A">
      <w:pPr>
        <w:jc w:val="both"/>
      </w:pPr>
    </w:p>
    <w:bookmarkEnd w:id="0"/>
    <w:p w:rsidR="00F97F9A" w:rsidRPr="00A557BA" w:rsidRDefault="00F97F9A" w:rsidP="00F97F9A">
      <w:pPr>
        <w:ind w:left="720" w:hanging="720"/>
        <w:jc w:val="both"/>
        <w:rPr>
          <w:rFonts w:cs="Arial"/>
          <w:szCs w:val="22"/>
        </w:rPr>
      </w:pPr>
      <w:r>
        <w:t>Other</w:t>
      </w:r>
      <w:r>
        <w:tab/>
        <w:t>To minimize stopping study pills in participants with potentially false positive results, m</w:t>
      </w:r>
      <w:r w:rsidRPr="00A557BA">
        <w:t>onitoring for hypercalcemia was modi</w:t>
      </w:r>
      <w:r>
        <w:t>fied to allow for a wider range for re-testing. Specifically, re-testing will be done when serum calcium falls within the upper limit of normal and the upper limit of normal plus 1 mg/dL  (see DSMP figure 2).</w:t>
      </w:r>
    </w:p>
    <w:p w:rsidR="00F97F9A" w:rsidRDefault="00F97F9A" w:rsidP="00F97F9A">
      <w:pPr>
        <w:jc w:val="both"/>
        <w:rPr>
          <w:rFonts w:cs="Arial"/>
          <w:szCs w:val="22"/>
        </w:rPr>
      </w:pPr>
    </w:p>
    <w:p w:rsidR="00F97F9A" w:rsidRDefault="00F97F9A" w:rsidP="00F97F9A">
      <w:pPr>
        <w:ind w:left="720" w:hanging="720"/>
        <w:jc w:val="both"/>
        <w:rPr>
          <w:rFonts w:cs="Arial"/>
          <w:szCs w:val="22"/>
        </w:rPr>
      </w:pPr>
      <w:r>
        <w:rPr>
          <w:rFonts w:cs="Arial"/>
          <w:szCs w:val="22"/>
        </w:rPr>
        <w:t>Other</w:t>
      </w:r>
      <w:r>
        <w:rPr>
          <w:rFonts w:cs="Arial"/>
          <w:szCs w:val="22"/>
        </w:rPr>
        <w:tab/>
        <w:t>Various language improvements throughout the document were made to improve clarity (e.g. measurement of 25OHD will not be done in real-time [section 4.3.7]; “tanning booths” changed to “tanning devices”) and avoid duplication with the DSMP document (e.g. section 10.2.1 and 10.2.3 in protocol were shortened).</w:t>
      </w:r>
    </w:p>
    <w:p w:rsidR="00F97F9A" w:rsidRDefault="00F97F9A" w:rsidP="00F97F9A">
      <w:pPr>
        <w:jc w:val="both"/>
        <w:rPr>
          <w:rFonts w:cs="Arial"/>
          <w:color w:val="000000"/>
          <w:szCs w:val="22"/>
        </w:rPr>
      </w:pPr>
    </w:p>
    <w:p w:rsidR="00F97F9A" w:rsidRPr="003F5297" w:rsidRDefault="00F97F9A" w:rsidP="00F97F9A">
      <w:pPr>
        <w:jc w:val="both"/>
        <w:rPr>
          <w:rFonts w:cs="Arial"/>
          <w:color w:val="000000"/>
          <w:szCs w:val="22"/>
        </w:rPr>
      </w:pPr>
      <w:r w:rsidRPr="003F5297">
        <w:rPr>
          <w:rFonts w:cs="Arial"/>
          <w:color w:val="000000"/>
          <w:szCs w:val="22"/>
        </w:rPr>
        <w:t>Thank you.</w:t>
      </w:r>
    </w:p>
    <w:p w:rsidR="00F97F9A" w:rsidRPr="003F5297" w:rsidRDefault="00F97F9A" w:rsidP="00F97F9A">
      <w:pPr>
        <w:jc w:val="both"/>
        <w:rPr>
          <w:rFonts w:cs="Arial"/>
          <w:color w:val="000000"/>
          <w:szCs w:val="22"/>
        </w:rPr>
      </w:pPr>
    </w:p>
    <w:p w:rsidR="00F97F9A" w:rsidRPr="004450BF" w:rsidRDefault="00F97F9A" w:rsidP="00F97F9A">
      <w:pPr>
        <w:ind w:left="360"/>
        <w:jc w:val="both"/>
        <w:rPr>
          <w:rFonts w:cs="Arial"/>
          <w:szCs w:val="22"/>
        </w:rPr>
      </w:pPr>
    </w:p>
    <w:p w:rsidR="00F97F9A" w:rsidRPr="00FA71D9" w:rsidRDefault="00F97F9A" w:rsidP="00F97F9A">
      <w:pPr>
        <w:pStyle w:val="SubtleEmphasis2"/>
        <w:ind w:left="0"/>
        <w:rPr>
          <w:rFonts w:ascii="Arial" w:hAnsi="Arial" w:cs="Arial"/>
          <w:color w:val="000000"/>
          <w:sz w:val="22"/>
          <w:szCs w:val="22"/>
        </w:rPr>
      </w:pPr>
      <w:r w:rsidRPr="00FA71D9">
        <w:rPr>
          <w:rFonts w:ascii="Arial" w:hAnsi="Arial" w:cs="Arial"/>
          <w:color w:val="000000"/>
          <w:sz w:val="22"/>
          <w:szCs w:val="22"/>
        </w:rPr>
        <w:t>Attachments</w:t>
      </w:r>
    </w:p>
    <w:p w:rsidR="00F97F9A" w:rsidRDefault="00F97F9A" w:rsidP="00F97F9A">
      <w:pPr>
        <w:pStyle w:val="SubtleEmphasis2"/>
        <w:numPr>
          <w:ilvl w:val="0"/>
          <w:numId w:val="1"/>
        </w:numPr>
        <w:rPr>
          <w:rFonts w:ascii="Arial" w:hAnsi="Arial" w:cs="Arial"/>
          <w:color w:val="000000"/>
          <w:sz w:val="22"/>
          <w:szCs w:val="22"/>
        </w:rPr>
      </w:pPr>
      <w:r>
        <w:rPr>
          <w:rFonts w:ascii="Arial" w:hAnsi="Arial" w:cs="Arial"/>
          <w:color w:val="000000"/>
          <w:sz w:val="22"/>
          <w:szCs w:val="22"/>
        </w:rPr>
        <w:t>DSMB approval letter (dated 2013.7.17) for protocol version 1.4 | 2013.7.15</w:t>
      </w:r>
    </w:p>
    <w:p w:rsidR="00F97F9A" w:rsidRPr="00F63222" w:rsidRDefault="00F97F9A" w:rsidP="00F97F9A">
      <w:pPr>
        <w:pStyle w:val="SubtleEmphasis2"/>
        <w:numPr>
          <w:ilvl w:val="0"/>
          <w:numId w:val="1"/>
        </w:numPr>
        <w:rPr>
          <w:rFonts w:ascii="Arial" w:hAnsi="Arial" w:cs="Arial"/>
          <w:color w:val="000000"/>
          <w:sz w:val="22"/>
          <w:szCs w:val="22"/>
        </w:rPr>
      </w:pPr>
      <w:r w:rsidRPr="00F63222">
        <w:rPr>
          <w:rFonts w:ascii="Arial" w:hAnsi="Arial" w:cs="Arial"/>
          <w:color w:val="000000"/>
          <w:sz w:val="22"/>
          <w:szCs w:val="22"/>
        </w:rPr>
        <w:t>Protocol version 1.4 | 2013.7.15</w:t>
      </w:r>
    </w:p>
    <w:p w:rsidR="00F97F9A" w:rsidRPr="003651E5" w:rsidRDefault="00F97F9A" w:rsidP="00F97F9A">
      <w:pPr>
        <w:pStyle w:val="SubtleEmphasis2"/>
        <w:numPr>
          <w:ilvl w:val="0"/>
          <w:numId w:val="1"/>
        </w:numPr>
        <w:rPr>
          <w:rFonts w:ascii="Arial" w:hAnsi="Arial" w:cs="Arial"/>
          <w:color w:val="000000"/>
          <w:sz w:val="22"/>
          <w:szCs w:val="22"/>
        </w:rPr>
      </w:pPr>
      <w:r w:rsidRPr="003651E5">
        <w:rPr>
          <w:rFonts w:ascii="Arial" w:hAnsi="Arial" w:cs="Arial"/>
          <w:color w:val="000000"/>
          <w:sz w:val="22"/>
          <w:szCs w:val="22"/>
        </w:rPr>
        <w:t>ICF main, version 1.4 | 2013.7.26</w:t>
      </w:r>
    </w:p>
    <w:p w:rsidR="00F97F9A" w:rsidRPr="003651E5" w:rsidRDefault="00F97F9A" w:rsidP="00F97F9A">
      <w:pPr>
        <w:pStyle w:val="SubtleEmphasis2"/>
        <w:numPr>
          <w:ilvl w:val="0"/>
          <w:numId w:val="1"/>
        </w:numPr>
        <w:rPr>
          <w:rFonts w:ascii="Arial" w:hAnsi="Arial" w:cs="Arial"/>
          <w:color w:val="000000"/>
          <w:sz w:val="22"/>
          <w:szCs w:val="22"/>
        </w:rPr>
      </w:pPr>
      <w:r w:rsidRPr="003651E5">
        <w:rPr>
          <w:rFonts w:ascii="Arial" w:hAnsi="Arial" w:cs="Arial"/>
          <w:color w:val="000000"/>
          <w:sz w:val="22"/>
          <w:szCs w:val="22"/>
        </w:rPr>
        <w:t>DSMP, version 4, date 2013.7.25</w:t>
      </w:r>
    </w:p>
    <w:p w:rsidR="00F97F9A" w:rsidRDefault="00F97F9A" w:rsidP="00F97F9A">
      <w:pPr>
        <w:rPr>
          <w:rFonts w:ascii="Times New Roman" w:hAnsi="Times New Roman"/>
          <w:sz w:val="20"/>
        </w:rPr>
      </w:pPr>
    </w:p>
    <w:p w:rsidR="00DA5994" w:rsidRDefault="00DA5994"/>
    <w:sectPr w:rsidR="00DA5994" w:rsidSect="00B27AC9">
      <w:footerReference w:type="default" r:id="rId7"/>
      <w:pgSz w:w="12240" w:h="15840"/>
      <w:pgMar w:top="1152" w:right="1008" w:bottom="1152" w:left="1152" w:header="5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8B9" w:rsidRDefault="001D38B9" w:rsidP="00F97F9A">
      <w:r>
        <w:separator/>
      </w:r>
    </w:p>
  </w:endnote>
  <w:endnote w:type="continuationSeparator" w:id="0">
    <w:p w:rsidR="001D38B9" w:rsidRDefault="001D38B9" w:rsidP="00F97F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222" w:rsidRPr="00E92EF6" w:rsidRDefault="001D38B9" w:rsidP="00B27AC9">
    <w:pPr>
      <w:pStyle w:val="Footer"/>
      <w:pBdr>
        <w:top w:val="single" w:sz="2" w:space="1" w:color="BFBFBF"/>
      </w:pBdr>
      <w:tabs>
        <w:tab w:val="clear" w:pos="8640"/>
      </w:tabs>
      <w:rPr>
        <w:sz w:val="18"/>
      </w:rPr>
    </w:pPr>
    <w:r>
      <w:rPr>
        <w:sz w:val="18"/>
      </w:rPr>
      <w:tab/>
    </w:r>
    <w:r>
      <w:rPr>
        <w:sz w:val="18"/>
      </w:rPr>
      <w:tab/>
      <w:t xml:space="preserve">    </w:t>
    </w:r>
    <w:r>
      <w:rPr>
        <w:sz w:val="18"/>
      </w:rPr>
      <w:tab/>
    </w:r>
    <w:r>
      <w:rPr>
        <w:sz w:val="18"/>
      </w:rPr>
      <w:tab/>
    </w:r>
    <w:r>
      <w:rPr>
        <w:sz w:val="18"/>
      </w:rPr>
      <w:tab/>
    </w:r>
    <w:r>
      <w:rPr>
        <w:sz w:val="18"/>
      </w:rPr>
      <w:tab/>
    </w:r>
    <w:r>
      <w:rPr>
        <w:sz w:val="18"/>
      </w:rPr>
      <w:tab/>
      <w:t xml:space="preserve">          </w:t>
    </w:r>
    <w:r w:rsidRPr="00E92EF6">
      <w:rPr>
        <w:sz w:val="18"/>
      </w:rPr>
      <w:t xml:space="preserve">Page </w:t>
    </w:r>
    <w:r w:rsidRPr="00E92EF6">
      <w:rPr>
        <w:sz w:val="18"/>
      </w:rPr>
      <w:fldChar w:fldCharType="begin"/>
    </w:r>
    <w:r w:rsidRPr="00E92EF6">
      <w:rPr>
        <w:sz w:val="18"/>
      </w:rPr>
      <w:instrText xml:space="preserve"> PAGE </w:instrText>
    </w:r>
    <w:r w:rsidRPr="00E92EF6">
      <w:rPr>
        <w:sz w:val="18"/>
      </w:rPr>
      <w:fldChar w:fldCharType="separate"/>
    </w:r>
    <w:r w:rsidR="00F97F9A">
      <w:rPr>
        <w:noProof/>
        <w:sz w:val="18"/>
      </w:rPr>
      <w:t>2</w:t>
    </w:r>
    <w:r w:rsidRPr="00E92EF6">
      <w:rPr>
        <w:sz w:val="18"/>
      </w:rPr>
      <w:fldChar w:fldCharType="end"/>
    </w:r>
    <w:r w:rsidRPr="00E92EF6">
      <w:rPr>
        <w:sz w:val="18"/>
      </w:rPr>
      <w:t xml:space="preserve"> of </w:t>
    </w:r>
    <w:r w:rsidRPr="00E92EF6">
      <w:rPr>
        <w:sz w:val="18"/>
      </w:rPr>
      <w:fldChar w:fldCharType="begin"/>
    </w:r>
    <w:r w:rsidRPr="00E92EF6">
      <w:rPr>
        <w:sz w:val="18"/>
      </w:rPr>
      <w:instrText xml:space="preserve"> NUMPAGES </w:instrText>
    </w:r>
    <w:r w:rsidRPr="00E92EF6">
      <w:rPr>
        <w:sz w:val="18"/>
      </w:rPr>
      <w:fldChar w:fldCharType="separate"/>
    </w:r>
    <w:r w:rsidR="00F97F9A">
      <w:rPr>
        <w:noProof/>
        <w:sz w:val="18"/>
      </w:rPr>
      <w:t>2</w:t>
    </w:r>
    <w:r w:rsidRPr="00E92EF6">
      <w:rP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8B9" w:rsidRDefault="001D38B9" w:rsidP="00F97F9A">
      <w:r>
        <w:separator/>
      </w:r>
    </w:p>
  </w:footnote>
  <w:footnote w:type="continuationSeparator" w:id="0">
    <w:p w:rsidR="001D38B9" w:rsidRDefault="001D38B9" w:rsidP="00F97F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56C80"/>
    <w:multiLevelType w:val="hybridMultilevel"/>
    <w:tmpl w:val="7994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97F9A"/>
    <w:rsid w:val="001D38B9"/>
    <w:rsid w:val="00DA5994"/>
    <w:rsid w:val="00F97F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F9A"/>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7F9A"/>
    <w:pPr>
      <w:tabs>
        <w:tab w:val="center" w:pos="4320"/>
        <w:tab w:val="right" w:pos="8640"/>
      </w:tabs>
    </w:pPr>
  </w:style>
  <w:style w:type="character" w:customStyle="1" w:styleId="HeaderChar">
    <w:name w:val="Header Char"/>
    <w:basedOn w:val="DefaultParagraphFont"/>
    <w:link w:val="Header"/>
    <w:rsid w:val="00F97F9A"/>
    <w:rPr>
      <w:rFonts w:ascii="Arial" w:eastAsia="Times New Roman" w:hAnsi="Arial" w:cs="Times New Roman"/>
      <w:szCs w:val="20"/>
    </w:rPr>
  </w:style>
  <w:style w:type="paragraph" w:styleId="Footer">
    <w:name w:val="footer"/>
    <w:basedOn w:val="Normal"/>
    <w:link w:val="FooterChar"/>
    <w:uiPriority w:val="99"/>
    <w:rsid w:val="00F97F9A"/>
    <w:pPr>
      <w:tabs>
        <w:tab w:val="center" w:pos="4320"/>
        <w:tab w:val="right" w:pos="8640"/>
      </w:tabs>
    </w:pPr>
    <w:rPr>
      <w:lang/>
    </w:rPr>
  </w:style>
  <w:style w:type="character" w:customStyle="1" w:styleId="FooterChar">
    <w:name w:val="Footer Char"/>
    <w:basedOn w:val="DefaultParagraphFont"/>
    <w:link w:val="Footer"/>
    <w:uiPriority w:val="99"/>
    <w:rsid w:val="00F97F9A"/>
    <w:rPr>
      <w:rFonts w:ascii="Arial" w:eastAsia="Times New Roman" w:hAnsi="Arial" w:cs="Times New Roman"/>
      <w:szCs w:val="20"/>
      <w:lang/>
    </w:rPr>
  </w:style>
  <w:style w:type="character" w:styleId="Hyperlink">
    <w:name w:val="Hyperlink"/>
    <w:rsid w:val="00F97F9A"/>
    <w:rPr>
      <w:color w:val="0000FF"/>
      <w:u w:val="single"/>
    </w:rPr>
  </w:style>
  <w:style w:type="paragraph" w:customStyle="1" w:styleId="SubtleEmphasis2">
    <w:name w:val="Subtle Emphasis2"/>
    <w:basedOn w:val="Normal"/>
    <w:uiPriority w:val="34"/>
    <w:qFormat/>
    <w:rsid w:val="00F97F9A"/>
    <w:pPr>
      <w:ind w:left="720"/>
      <w:contextualSpacing/>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823</Words>
  <Characters>4693</Characters>
  <Application>Microsoft Office Word</Application>
  <DocSecurity>0</DocSecurity>
  <Lines>39</Lines>
  <Paragraphs>11</Paragraphs>
  <ScaleCrop>false</ScaleCrop>
  <Company>Tufts Medical Center</Company>
  <LinksUpToDate>false</LinksUpToDate>
  <CharactersWithSpaces>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psheehan1</dc:creator>
  <cp:keywords/>
  <dc:description/>
  <cp:lastModifiedBy>psheehan1</cp:lastModifiedBy>
  <cp:revision>1</cp:revision>
  <dcterms:created xsi:type="dcterms:W3CDTF">2013-07-25T18:42:00Z</dcterms:created>
  <dcterms:modified xsi:type="dcterms:W3CDTF">2013-07-25T18:51:00Z</dcterms:modified>
</cp:coreProperties>
</file>